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最终</w:t>
      </w:r>
      <w:r>
        <w:rPr>
          <w:rFonts w:hint="eastAsia"/>
          <w:sz w:val="44"/>
          <w:szCs w:val="44"/>
        </w:rPr>
        <w:t>报价表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评审</w:t>
      </w:r>
      <w:r>
        <w:rPr>
          <w:rFonts w:hint="eastAsia"/>
          <w:sz w:val="28"/>
          <w:szCs w:val="28"/>
        </w:rPr>
        <w:t>时间：时间：2024年3月21日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项目名称：病理流式细胞学等检测服务采购项目SGWZX2024C007</w:t>
      </w:r>
    </w:p>
    <w:tbl>
      <w:tblPr>
        <w:tblStyle w:val="6"/>
        <w:tblW w:w="893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竞标公司</w:t>
            </w: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23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重庆金域医学检验所有限公司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最后报价</w:t>
            </w:r>
          </w:p>
          <w:tbl>
            <w:tblPr>
              <w:tblStyle w:val="5"/>
              <w:tblW w:w="4819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5"/>
              <w:gridCol w:w="1961"/>
              <w:gridCol w:w="3155"/>
              <w:gridCol w:w="1602"/>
              <w:gridCol w:w="10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  <w:jc w:val="center"/>
              </w:trPr>
              <w:tc>
                <w:tcPr>
                  <w:tcW w:w="384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168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检测项目</w:t>
                  </w: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  <w:t>名称</w:t>
                  </w:r>
                </w:p>
              </w:tc>
              <w:tc>
                <w:tcPr>
                  <w:tcW w:w="1879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重庆物价收费编码</w:t>
                  </w:r>
                </w:p>
              </w:tc>
              <w:tc>
                <w:tcPr>
                  <w:tcW w:w="954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二级医院收费标准（元/项）</w:t>
                  </w:r>
                </w:p>
              </w:tc>
              <w:tc>
                <w:tcPr>
                  <w:tcW w:w="612" w:type="pct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报价</w:t>
                  </w:r>
                  <w:r>
                    <w:rPr>
                      <w:rFonts w:hint="eastAsia" w:ascii="方正仿宋_GBK" w:hAnsi="方正仿宋_GBK" w:eastAsia="方正仿宋_GBK" w:cs="方正仿宋_GBK"/>
                      <w:b w:val="0"/>
                      <w:bCs w:val="0"/>
                      <w:color w:val="auto"/>
                      <w:sz w:val="18"/>
                      <w:szCs w:val="18"/>
                      <w:lang w:val="en-US" w:eastAsia="zh-CN"/>
                    </w:rPr>
                    <w:t>（元/项）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  <w:t>染色体核型分析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250700014培养细胞的染色体分析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200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250700003血高分辨染色体检查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130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71.5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kern w:val="2"/>
                      <w:sz w:val="18"/>
                      <w:szCs w:val="18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sz w:val="18"/>
                      <w:szCs w:val="18"/>
                      <w:u w:val="none"/>
                      <w:lang w:val="en-US" w:eastAsia="zh-CN"/>
                    </w:rPr>
                    <w:t>淋巴瘤/淋系白血病相关CD系列检测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250201006白血病免疫分型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16.5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6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250201006.02白血病免疫分型(流式细胞仪法加收)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60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  <w:jc w:val="center"/>
              </w:trPr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sz w:val="18"/>
                      <w:szCs w:val="18"/>
                      <w:lang w:val="en-US" w:eastAsia="zh-CN"/>
                    </w:rPr>
                    <w:t>特殊染色及酶组织化学染色诊断（特殊染色）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270500001特殊染色及酶组织化学染色诊断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35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19.25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  <w:jc w:val="center"/>
              </w:trPr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before="0" w:line="300" w:lineRule="exact"/>
                    <w:ind w:left="0" w:leftChars="0" w:firstLine="0" w:firstLineChars="0"/>
                    <w:jc w:val="center"/>
                    <w:rPr>
                      <w:rFonts w:hint="eastAsia" w:ascii="方正仿宋_GBK" w:hAnsi="方正仿宋_GBK" w:eastAsia="方正仿宋_GBK" w:cs="方正仿宋_GBK"/>
                      <w:snapToGrid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pacing w:val="0"/>
                      <w:sz w:val="18"/>
                      <w:szCs w:val="18"/>
                      <w:lang w:val="en-US" w:eastAsia="zh-CN"/>
                    </w:rPr>
                    <w:t>免疫组化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left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270500002免疫组织化学染色诊断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70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38.5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kern w:val="2"/>
                      <w:sz w:val="18"/>
                      <w:szCs w:val="18"/>
                      <w:lang w:val="en-US" w:eastAsia="zh-CN" w:bidi="ar-SA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疑难病理会诊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270800007疑难病理会诊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300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165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4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220800008超声计算机图文报告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8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4.4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220800008.01超声计算机图文报告(病理彩色图文报告(含图象分析)加收)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15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8.25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270800006显微摄影术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25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13.75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16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脱氧核糖核酸测序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exact"/>
                    <w:jc w:val="left"/>
                    <w:textAlignment w:val="auto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270700003脱氧核糖核酸(DNA)测序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242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20"/>
                    </w:rPr>
                    <w:t>人乳头瘤病毒(HPV)核酸检测(HC2二代杂交捕获法)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250403066人乳头瘤病毒(HPV)核酸检测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72.6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250403066.01人乳头瘤病毒(HPV)核酸检测(HC2二代杂交捕获法加收)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液基检测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270800004液基薄层细胞制片术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66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270200004脱落细胞学检查与诊断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16.5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168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活检</w:t>
                  </w: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270300005手术标本检查与诊断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140100004病理标本处置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2.75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3" w:hRule="atLeast"/>
                <w:jc w:val="center"/>
              </w:trPr>
              <w:tc>
                <w:tcPr>
                  <w:tcW w:w="384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68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879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2"/>
                      <w:sz w:val="18"/>
                      <w:szCs w:val="18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270800005病理大体标本摄影</w:t>
                  </w:r>
                </w:p>
              </w:tc>
              <w:tc>
                <w:tcPr>
                  <w:tcW w:w="95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6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default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color w:val="auto"/>
                      <w:sz w:val="18"/>
                      <w:szCs w:val="18"/>
                      <w:lang w:val="en-US" w:eastAsia="zh-CN"/>
                    </w:rPr>
                    <w:t>13.75</w:t>
                  </w:r>
                </w:p>
              </w:tc>
            </w:tr>
          </w:tbl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OTU2ZDkxMGY3ZmZmMjdiMWFjYzMyMDBhZDE0YTcifQ=="/>
  </w:docVars>
  <w:rsids>
    <w:rsidRoot w:val="005211EA"/>
    <w:rsid w:val="00012E3E"/>
    <w:rsid w:val="000370F7"/>
    <w:rsid w:val="00073F65"/>
    <w:rsid w:val="0012663B"/>
    <w:rsid w:val="00143EE1"/>
    <w:rsid w:val="00183828"/>
    <w:rsid w:val="00196EAD"/>
    <w:rsid w:val="001B11DC"/>
    <w:rsid w:val="001F6D5F"/>
    <w:rsid w:val="00222CA8"/>
    <w:rsid w:val="00276EC9"/>
    <w:rsid w:val="003841B2"/>
    <w:rsid w:val="0039649D"/>
    <w:rsid w:val="003B044D"/>
    <w:rsid w:val="003D0A96"/>
    <w:rsid w:val="003F7344"/>
    <w:rsid w:val="0045604D"/>
    <w:rsid w:val="0046467B"/>
    <w:rsid w:val="00481111"/>
    <w:rsid w:val="005109BC"/>
    <w:rsid w:val="0051126D"/>
    <w:rsid w:val="005211EA"/>
    <w:rsid w:val="00526C70"/>
    <w:rsid w:val="006910D9"/>
    <w:rsid w:val="00737DA2"/>
    <w:rsid w:val="00805029"/>
    <w:rsid w:val="00887475"/>
    <w:rsid w:val="008970ED"/>
    <w:rsid w:val="008B7106"/>
    <w:rsid w:val="008D404C"/>
    <w:rsid w:val="0090525D"/>
    <w:rsid w:val="00955131"/>
    <w:rsid w:val="00977580"/>
    <w:rsid w:val="0098030B"/>
    <w:rsid w:val="009833EC"/>
    <w:rsid w:val="009B0EF9"/>
    <w:rsid w:val="009C524D"/>
    <w:rsid w:val="009E0832"/>
    <w:rsid w:val="00A35808"/>
    <w:rsid w:val="00A37A0E"/>
    <w:rsid w:val="00A66373"/>
    <w:rsid w:val="00A674CB"/>
    <w:rsid w:val="00A70628"/>
    <w:rsid w:val="00B22787"/>
    <w:rsid w:val="00B952BD"/>
    <w:rsid w:val="00C473D4"/>
    <w:rsid w:val="00C84C54"/>
    <w:rsid w:val="00CB201B"/>
    <w:rsid w:val="00D25AE7"/>
    <w:rsid w:val="00D51EB3"/>
    <w:rsid w:val="00DA359C"/>
    <w:rsid w:val="00E32009"/>
    <w:rsid w:val="00EC0771"/>
    <w:rsid w:val="00EF7A77"/>
    <w:rsid w:val="00F0589C"/>
    <w:rsid w:val="00F175D6"/>
    <w:rsid w:val="00F20DAF"/>
    <w:rsid w:val="00FA17C9"/>
    <w:rsid w:val="00FD3274"/>
    <w:rsid w:val="07FE33E5"/>
    <w:rsid w:val="0D0532CC"/>
    <w:rsid w:val="1048539A"/>
    <w:rsid w:val="231B1917"/>
    <w:rsid w:val="25837821"/>
    <w:rsid w:val="27EF2D25"/>
    <w:rsid w:val="363A0AD4"/>
    <w:rsid w:val="3B9A12B6"/>
    <w:rsid w:val="48383137"/>
    <w:rsid w:val="4AAC3EE7"/>
    <w:rsid w:val="509031B8"/>
    <w:rsid w:val="58CE57BC"/>
    <w:rsid w:val="5A200D92"/>
    <w:rsid w:val="5D421590"/>
    <w:rsid w:val="6058275E"/>
    <w:rsid w:val="66EA5956"/>
    <w:rsid w:val="6D581230"/>
    <w:rsid w:val="739D387C"/>
    <w:rsid w:val="74217999"/>
    <w:rsid w:val="770B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</Words>
  <Characters>101</Characters>
  <Lines>1</Lines>
  <Paragraphs>1</Paragraphs>
  <TotalTime>4</TotalTime>
  <ScaleCrop>false</ScaleCrop>
  <LinksUpToDate>false</LinksUpToDate>
  <CharactersWithSpaces>117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2019-04-26T01:56:00Z</dcterms:created>
  <dc:creator>Windows User</dc:creator>
  <cp:lastModifiedBy>Vina</cp:lastModifiedBy>
  <cp:lastPrinted>2022-08-31T04:22:00Z</cp:lastPrinted>
  <dcterms:modified xsi:type="dcterms:W3CDTF">2024-03-22T03:59:20Z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A5299DF9582940FBAAAF9B7F7E37B9A9_13</vt:lpwstr>
  </property>
</Properties>
</file>